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ca7b90bb34340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32980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NOVA BUKOVICA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III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240.984,45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211.719,16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178.918,70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102.072,05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62.065,75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109.647,11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176,7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4.381,20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4.381,20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162.683,51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24.885,53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196.072,02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787,9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24.885,53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33.388,51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134,2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32.799,02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76.258,60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232,5</w:t>
            </w:r>
          </w:p>
        </w:tc>
      </w:tr>
    </w:tbl>
    <w:p>
      <w:pPr>
        <w:spacing w:before="0" w:after="0"/>
      </w:pPr>
    </w:p>
    <w:p>
      <w:r>
        <w:t xml:space="preserve">Višak prihod nastao je iz razloga pomirivanja ranije nastalih obveza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Stalni porezi na nepokretnu imovinu (zemlju, zgrade, kuće i ostalo)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porez na nekretnine - nije ga bilo u 2025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Povremeni porezi na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1.622,85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3.795,29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233,9</w:t>
            </w:r>
          </w:p>
        </w:tc>
      </w:tr>
    </w:tbl>
    <w:p>
      <w:pPr>
        <w:spacing w:before="0" w:after="0"/>
      </w:pPr>
    </w:p>
    <w:p>
      <w:r>
        <w:t xml:space="preserve">Plaćeno je više poreza na promet nekretnina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promet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1.401,33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30,3</w:t>
            </w:r>
          </w:p>
        </w:tc>
      </w:tr>
    </w:tbl>
    <w:p>
      <w:pPr>
        <w:spacing w:before="0" w:after="0"/>
      </w:pPr>
    </w:p>
    <w:p>
      <w:r>
        <w:t xml:space="preserve">Manje je uplaćeno poreza na potrošnju alkoholnih i bezalkoholnih pića u odnosu na prethodnu godinu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107.244,87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111.652,11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104,1</w:t>
            </w:r>
          </w:p>
        </w:tc>
      </w:tr>
    </w:tbl>
    <w:p>
      <w:pPr>
        <w:spacing w:before="0" w:after="0"/>
      </w:pPr>
    </w:p>
    <w:p>
      <w:r>
        <w:t xml:space="preserve">Sredstva fiskalnog izravnanja i fiskalne održivosti dječjeg vrtića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16.741,31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2.892,37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17,3</w:t>
            </w:r>
          </w:p>
        </w:tc>
      </w:tr>
    </w:tbl>
    <w:p>
      <w:pPr>
        <w:spacing w:before="0" w:after="0"/>
      </w:pPr>
    </w:p>
    <w:p>
      <w:r>
        <w:t xml:space="preserve">Uplatnice za komunalnu naknade poslane su u travnju pa nije bilo uplata u prvom tromjesečju dok su se prošle godine slale ranije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2.287,09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70,0</w:t>
            </w:r>
          </w:p>
        </w:tc>
      </w:tr>
    </w:tbl>
    <w:p>
      <w:pPr>
        <w:spacing w:before="0" w:after="0"/>
      </w:pPr>
    </w:p>
    <w:p>
      <w:r>
        <w:t xml:space="preserve">paušalna naknada za prehranu radnika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1.549,22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4.534,79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292,7</w:t>
            </w:r>
          </w:p>
        </w:tc>
      </w:tr>
    </w:tbl>
    <w:p>
      <w:pPr>
        <w:spacing w:before="0" w:after="0"/>
      </w:pPr>
    </w:p>
    <w:p>
      <w:r>
        <w:t xml:space="preserve">provedena je deratizacija koja nije u 2025. bila do 31.3.2025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8.456,05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15.996,59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189,2</w:t>
            </w:r>
          </w:p>
        </w:tc>
      </w:tr>
    </w:tbl>
    <w:p>
      <w:pPr>
        <w:spacing w:before="0" w:after="0"/>
      </w:pPr>
    </w:p>
    <w:p>
      <w:r>
        <w:t xml:space="preserve">Osim redovnog održavanja programa plaćene su i izmjene u sustavu eRačuna i trošak geodeta za uvođenje u posjed poljoprivrednog zemljišta u vlasništvu RH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od kreditnih i ostalih financijskih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2.497,42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2.965,26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118,7</w:t>
            </w:r>
          </w:p>
        </w:tc>
      </w:tr>
    </w:tbl>
    <w:p>
      <w:pPr>
        <w:spacing w:before="0" w:after="0"/>
      </w:pPr>
    </w:p>
    <w:p>
      <w:r>
        <w:t xml:space="preserve">Odnose se na kamate za dugoročni kredit i 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162.683,51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Otplata glavnice primljenih kredita i zajmova od kreditnih i ostalih financijskih institucija izvan javnog sektora (šifre 5443 do 5448)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24.885,53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196.072,02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787,9</w:t>
            </w:r>
          </w:p>
        </w:tc>
      </w:tr>
    </w:tbl>
    <w:p>
      <w:pPr>
        <w:spacing w:before="0" w:after="0"/>
      </w:pPr>
    </w:p>
    <w:p>
      <w:r>
        <w:t xml:space="preserve">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Nema dospjelih obveza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e95be9bccd484c" /></Relationships>
</file>